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82F6B">
        <w:rPr>
          <w:rFonts w:ascii="Arial" w:hAnsi="Arial" w:cs="Arial"/>
          <w:b/>
          <w:sz w:val="32"/>
          <w:szCs w:val="32"/>
        </w:rPr>
        <w:t xml:space="preserve">23 </w:t>
      </w:r>
      <w:r w:rsidR="00B84D60">
        <w:rPr>
          <w:rFonts w:ascii="Arial" w:hAnsi="Arial" w:cs="Arial"/>
          <w:b/>
          <w:sz w:val="32"/>
          <w:szCs w:val="32"/>
        </w:rPr>
        <w:t>октября</w:t>
      </w:r>
      <w:r w:rsidR="00D82F6B">
        <w:rPr>
          <w:rFonts w:ascii="Arial" w:hAnsi="Arial" w:cs="Arial"/>
          <w:b/>
          <w:sz w:val="32"/>
          <w:szCs w:val="32"/>
        </w:rPr>
        <w:t xml:space="preserve"> 2020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D82F6B">
        <w:rPr>
          <w:rFonts w:ascii="Arial" w:hAnsi="Arial" w:cs="Arial"/>
          <w:b/>
          <w:sz w:val="32"/>
          <w:szCs w:val="32"/>
        </w:rPr>
        <w:t>№ 53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CC1610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 xml:space="preserve">№49 от 28.11.2013 года </w:t>
      </w:r>
      <w:r w:rsidR="00644E6C" w:rsidRPr="00E27BB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C95709" w:rsidRPr="009A55A9" w:rsidRDefault="009E3A0E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1. Утвердить прилагаем</w:t>
      </w:r>
      <w:r w:rsidR="009A55A9">
        <w:rPr>
          <w:rFonts w:ascii="Arial" w:hAnsi="Arial" w:cs="Arial"/>
          <w:sz w:val="24"/>
          <w:szCs w:val="24"/>
        </w:rPr>
        <w:t xml:space="preserve">ую муниципальную программу </w:t>
      </w:r>
      <w:r w:rsidR="009A55A9" w:rsidRPr="009A55A9">
        <w:rPr>
          <w:rFonts w:ascii="Arial" w:hAnsi="Arial" w:cs="Arial"/>
          <w:sz w:val="24"/>
          <w:szCs w:val="24"/>
        </w:rPr>
        <w:t>«</w:t>
      </w:r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r w:rsidR="00C95709" w:rsidRPr="009A55A9">
        <w:rPr>
          <w:rFonts w:ascii="Arial" w:hAnsi="Arial" w:cs="Arial"/>
          <w:sz w:val="24"/>
          <w:szCs w:val="24"/>
        </w:rPr>
        <w:t xml:space="preserve">» </w:t>
      </w:r>
    </w:p>
    <w:p w:rsidR="001C0C3F" w:rsidRPr="001B119F" w:rsidRDefault="00C95709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2. Признать утратившим</w:t>
      </w:r>
      <w:r w:rsidR="001C0C3F" w:rsidRPr="001B119F">
        <w:rPr>
          <w:rFonts w:ascii="Arial" w:hAnsi="Arial" w:cs="Arial"/>
          <w:sz w:val="24"/>
          <w:szCs w:val="24"/>
        </w:rPr>
        <w:t>и</w:t>
      </w:r>
      <w:r w:rsidRPr="001B119F">
        <w:rPr>
          <w:rFonts w:ascii="Arial" w:hAnsi="Arial" w:cs="Arial"/>
          <w:sz w:val="24"/>
          <w:szCs w:val="24"/>
        </w:rPr>
        <w:t xml:space="preserve"> силу постановлени</w:t>
      </w:r>
      <w:r w:rsidR="001C0C3F" w:rsidRPr="001B119F">
        <w:rPr>
          <w:rFonts w:ascii="Arial" w:hAnsi="Arial" w:cs="Arial"/>
          <w:sz w:val="24"/>
          <w:szCs w:val="24"/>
        </w:rPr>
        <w:t>я:</w:t>
      </w:r>
    </w:p>
    <w:p w:rsidR="001C0C3F" w:rsidRPr="001B119F" w:rsidRDefault="00316C68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от </w:t>
      </w:r>
      <w:r w:rsidR="00D82F6B">
        <w:rPr>
          <w:rFonts w:ascii="Arial" w:hAnsi="Arial" w:cs="Arial"/>
          <w:sz w:val="24"/>
          <w:szCs w:val="24"/>
        </w:rPr>
        <w:t>28.10.2019 г. № 72</w:t>
      </w:r>
      <w:r w:rsidR="00827F95" w:rsidRPr="001B119F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муниципального образования «Уланковский сельсовет» Судж</w:t>
      </w:r>
      <w:r w:rsidR="001B119F" w:rsidRPr="001B119F">
        <w:rPr>
          <w:rFonts w:ascii="Arial" w:hAnsi="Arial" w:cs="Arial"/>
          <w:sz w:val="24"/>
          <w:szCs w:val="24"/>
        </w:rPr>
        <w:t>анского района Курской области».</w:t>
      </w:r>
    </w:p>
    <w:p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D80F8B">
        <w:rPr>
          <w:rFonts w:ascii="Arial" w:hAnsi="Arial" w:cs="Arial"/>
          <w:sz w:val="24"/>
          <w:szCs w:val="24"/>
        </w:rPr>
        <w:t>20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 w:rsidRPr="001B119F">
        <w:rPr>
          <w:rFonts w:ascii="Arial" w:hAnsi="Arial" w:cs="Arial"/>
          <w:sz w:val="24"/>
          <w:szCs w:val="24"/>
        </w:rPr>
        <w:t>Суджанского</w:t>
      </w:r>
      <w:r w:rsidR="00AF7B36" w:rsidRPr="001B119F">
        <w:rPr>
          <w:rFonts w:ascii="Arial" w:hAnsi="Arial" w:cs="Arial"/>
          <w:sz w:val="24"/>
          <w:szCs w:val="24"/>
        </w:rPr>
        <w:t xml:space="preserve"> района .</w:t>
      </w:r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2F6B">
        <w:rPr>
          <w:rFonts w:ascii="Arial" w:hAnsi="Arial" w:cs="Arial"/>
          <w:sz w:val="24"/>
          <w:szCs w:val="24"/>
        </w:rPr>
        <w:t>23.10.2020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 w:rsidR="00D82F6B">
        <w:rPr>
          <w:rFonts w:ascii="Arial" w:hAnsi="Arial" w:cs="Arial"/>
          <w:sz w:val="24"/>
          <w:szCs w:val="24"/>
        </w:rPr>
        <w:t>53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D82F6B">
              <w:t>по сравнению с 2020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2F6B" w:rsidP="00D82F6B">
            <w:pPr>
              <w:spacing w:before="60" w:after="60"/>
            </w:pPr>
            <w:r>
              <w:t>2021</w:t>
            </w:r>
            <w:r w:rsidR="00D80F8B">
              <w:t>- </w:t>
            </w:r>
            <w:r>
              <w:t>2023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D82F6B">
              <w:t>5161604,12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D82F6B">
              <w:t>5161604,12</w:t>
            </w:r>
            <w:r w:rsidR="00D82F6B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D82F6B">
              <w:t>5161604,12</w:t>
            </w:r>
            <w:r w:rsidR="00D82F6B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D82F6B" w:rsidP="004F15FA">
            <w:pPr>
              <w:ind w:firstLine="34"/>
            </w:pPr>
            <w:r>
              <w:t>2021</w:t>
            </w:r>
            <w:r w:rsidR="009A55A9" w:rsidRPr="00723AA7">
              <w:t xml:space="preserve"> год –     </w:t>
            </w:r>
            <w:r>
              <w:t>2071429</w:t>
            </w:r>
            <w:r w:rsidR="006949C5"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6A47BA" w:rsidP="004F15FA">
            <w:pPr>
              <w:ind w:firstLine="34"/>
            </w:pPr>
            <w:r>
              <w:t>2022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D82F6B">
              <w:t>1856686,32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6A47BA">
              <w:t>23</w:t>
            </w:r>
            <w:r>
              <w:t xml:space="preserve"> год -      </w:t>
            </w:r>
            <w:r w:rsidR="00D82F6B">
              <w:t>1233488,80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</w:t>
            </w:r>
            <w:r w:rsidR="00D82F6B">
              <w:t xml:space="preserve">ической базы </w:t>
            </w:r>
            <w:r w:rsidRPr="00723AA7">
              <w:t>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01.10.2020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6A47BA">
        <w:rPr>
          <w:rStyle w:val="FontStyle201"/>
          <w:rFonts w:ascii="Arial" w:hAnsi="Arial" w:cs="Arial"/>
          <w:sz w:val="24"/>
          <w:szCs w:val="24"/>
        </w:rPr>
        <w:t>58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01.10.2020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A47BA">
        <w:rPr>
          <w:rStyle w:val="FontStyle201"/>
          <w:rFonts w:ascii="Arial" w:hAnsi="Arial" w:cs="Arial"/>
          <w:sz w:val="24"/>
          <w:szCs w:val="24"/>
        </w:rPr>
        <w:t>21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6A47BA">
        <w:rPr>
          <w:rStyle w:val="FontStyle201"/>
          <w:rFonts w:ascii="Arial" w:hAnsi="Arial" w:cs="Arial"/>
          <w:sz w:val="24"/>
          <w:szCs w:val="24"/>
        </w:rPr>
        <w:t>3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6A47BA">
        <w:rPr>
          <w:rFonts w:ascii="Arial" w:hAnsi="Arial" w:cs="Arial"/>
          <w:sz w:val="24"/>
          <w:szCs w:val="24"/>
        </w:rPr>
        <w:t>21год и на плановый период 2022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6A47BA">
        <w:rPr>
          <w:rFonts w:ascii="Arial" w:hAnsi="Arial" w:cs="Arial"/>
          <w:sz w:val="24"/>
          <w:szCs w:val="24"/>
        </w:rPr>
        <w:t>23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района составляет </w:t>
      </w:r>
      <w:r w:rsidR="006A47BA">
        <w:t>5161604,12</w:t>
      </w:r>
      <w:r w:rsidR="006A47BA" w:rsidRPr="00723AA7"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6A47BA" w:rsidRPr="00723AA7" w:rsidRDefault="006A47BA" w:rsidP="006A47BA">
      <w:pPr>
        <w:ind w:firstLine="34"/>
      </w:pPr>
      <w:r>
        <w:t>2021</w:t>
      </w:r>
      <w:r w:rsidRPr="00723AA7">
        <w:t xml:space="preserve"> год –     </w:t>
      </w:r>
      <w:r>
        <w:t xml:space="preserve">2071429,00 </w:t>
      </w:r>
      <w:r w:rsidRPr="00723AA7">
        <w:t xml:space="preserve"> рублей;</w:t>
      </w:r>
    </w:p>
    <w:p w:rsidR="006A47BA" w:rsidRPr="00723AA7" w:rsidRDefault="006A47BA" w:rsidP="006A47BA">
      <w:pPr>
        <w:ind w:firstLine="34"/>
      </w:pPr>
      <w:r>
        <w:t>2022</w:t>
      </w:r>
      <w:r w:rsidRPr="00723AA7">
        <w:t xml:space="preserve"> год –</w:t>
      </w:r>
      <w:r>
        <w:t xml:space="preserve">     1856686,32</w:t>
      </w:r>
      <w:r w:rsidRPr="00723AA7">
        <w:t>рублей;</w:t>
      </w:r>
    </w:p>
    <w:p w:rsidR="006A47BA" w:rsidRPr="00723AA7" w:rsidRDefault="006A47BA" w:rsidP="006A47BA">
      <w:pPr>
        <w:ind w:firstLine="34"/>
      </w:pPr>
      <w:r w:rsidRPr="00723AA7">
        <w:t>20</w:t>
      </w:r>
      <w:r>
        <w:t>23 год -      1233488,80</w:t>
      </w:r>
      <w:r w:rsidRPr="00723AA7">
        <w:t>рублей;</w:t>
      </w:r>
    </w:p>
    <w:p w:rsidR="006949C5" w:rsidRPr="006949C5" w:rsidRDefault="006949C5" w:rsidP="006949C5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;</w:t>
      </w:r>
    </w:p>
    <w:p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F82F87" w:rsidRPr="00E27BBA" w:rsidRDefault="00C95709" w:rsidP="006A47BA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Подпрограмма 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муниципальной программы «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E94DAB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E94DAB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E94DAB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="00E94DAB" w:rsidRPr="00F82F87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F82F87">
        <w:rPr>
          <w:rStyle w:val="FontStyle202"/>
          <w:rFonts w:ascii="Arial" w:hAnsi="Arial" w:cs="Arial"/>
          <w:sz w:val="32"/>
          <w:szCs w:val="32"/>
        </w:rPr>
        <w:t>и»</w:t>
      </w:r>
    </w:p>
    <w:p w:rsidR="00C95709" w:rsidRPr="00F82F87" w:rsidRDefault="00C95709" w:rsidP="00F82F87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A47BA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6A47BA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5161604,12</w:t>
            </w:r>
            <w:r w:rsidRPr="00723AA7">
              <w:t xml:space="preserve">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6A47BA" w:rsidRPr="00723AA7" w:rsidRDefault="006A47BA" w:rsidP="006A47BA">
            <w:pPr>
              <w:ind w:firstLine="34"/>
            </w:pPr>
            <w:r>
              <w:t>2021</w:t>
            </w:r>
            <w:r w:rsidRPr="00723AA7">
              <w:t xml:space="preserve"> год –     </w:t>
            </w:r>
            <w:r>
              <w:t xml:space="preserve">2071429,00 </w:t>
            </w:r>
            <w:r w:rsidRPr="00723AA7">
              <w:t xml:space="preserve"> рублей;</w:t>
            </w:r>
          </w:p>
          <w:p w:rsidR="006A47BA" w:rsidRPr="00723AA7" w:rsidRDefault="006A47BA" w:rsidP="006A47BA">
            <w:pPr>
              <w:ind w:firstLine="34"/>
            </w:pPr>
            <w:r>
              <w:t>2022</w:t>
            </w:r>
            <w:r w:rsidRPr="00723AA7">
              <w:t xml:space="preserve"> год –</w:t>
            </w:r>
            <w:r>
              <w:t xml:space="preserve">     1856686,32</w:t>
            </w:r>
            <w:r w:rsidRPr="00723AA7">
              <w:t>рублей;</w:t>
            </w:r>
          </w:p>
          <w:p w:rsidR="006A47BA" w:rsidRPr="00723AA7" w:rsidRDefault="006A47BA" w:rsidP="006A47BA">
            <w:pPr>
              <w:ind w:firstLine="34"/>
            </w:pPr>
            <w:r w:rsidRPr="00723AA7">
              <w:t>20</w:t>
            </w:r>
            <w:r>
              <w:t>23 год -      1233488,80</w:t>
            </w:r>
            <w:r w:rsidRPr="00723AA7">
              <w:t>рублей;</w:t>
            </w:r>
          </w:p>
          <w:p w:rsidR="006949C5" w:rsidRPr="006949C5" w:rsidRDefault="006949C5" w:rsidP="006949C5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94DAB" w:rsidRPr="006949C5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учреждениях, по сравнению с 2020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Перечень основных мероприятий муниципальной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Pr="00F82F87">
        <w:rPr>
          <w:rFonts w:ascii="Arial" w:hAnsi="Arial" w:cs="Arial"/>
          <w:b/>
          <w:sz w:val="32"/>
          <w:szCs w:val="32"/>
        </w:rPr>
        <w:t xml:space="preserve">программы </w:t>
      </w: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«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6949C5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6949C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6949C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Fonts w:ascii="Arial" w:hAnsi="Arial" w:cs="Arial"/>
          <w:b/>
          <w:sz w:val="32"/>
          <w:szCs w:val="32"/>
        </w:rPr>
        <w:t>»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 программы «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Развитие культуры муниципального образования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«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Уланковский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сельсовет» 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Суджанского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района Курской области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6A47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6A47BA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функций казенных учреждений культуры муниципального образования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об объектах нематериального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культурного наследия,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муниципальных услуг(выполнения 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642EC" w:rsidRDefault="006949C5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142302" w:rsidRPr="00E27BBA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142302" w:rsidRPr="004F6CE9" w:rsidTr="00316C68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:rsidTr="00316C68">
        <w:trPr>
          <w:trHeight w:val="390"/>
        </w:trPr>
        <w:tc>
          <w:tcPr>
            <w:tcW w:w="2050" w:type="dxa"/>
            <w:vMerge/>
          </w:tcPr>
          <w:p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4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D2332" w:rsidRPr="004F6CE9" w:rsidTr="00316C68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AD233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«</w:t>
            </w:r>
            <w:r w:rsidR="006949C5"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Развитие культуры муниципального образования «Уланковский сельсовет» Суджанского района Курской области</w:t>
            </w: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»</w:t>
            </w:r>
          </w:p>
        </w:tc>
        <w:tc>
          <w:tcPr>
            <w:tcW w:w="144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AD2332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  <w:tr w:rsidR="006A47BA" w:rsidRPr="004F6CE9" w:rsidTr="00316C68">
        <w:tc>
          <w:tcPr>
            <w:tcW w:w="2050" w:type="dxa"/>
          </w:tcPr>
          <w:p w:rsidR="006A47BA" w:rsidRPr="004F6CE9" w:rsidRDefault="006A47BA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44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  <w:tr w:rsidR="006A47BA" w:rsidRPr="004F6CE9" w:rsidTr="00316C68">
        <w:trPr>
          <w:trHeight w:val="2597"/>
        </w:trPr>
        <w:tc>
          <w:tcPr>
            <w:tcW w:w="2050" w:type="dxa"/>
          </w:tcPr>
          <w:p w:rsidR="006A47BA" w:rsidRPr="004F6CE9" w:rsidRDefault="006A47BA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A47BA" w:rsidRPr="004F6CE9" w:rsidRDefault="006A47BA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6A47BA" w:rsidRPr="004F6CE9" w:rsidRDefault="006A47BA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2071,429</w:t>
            </w:r>
          </w:p>
        </w:tc>
        <w:tc>
          <w:tcPr>
            <w:tcW w:w="144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1856,686</w:t>
            </w:r>
          </w:p>
        </w:tc>
        <w:tc>
          <w:tcPr>
            <w:tcW w:w="1260" w:type="dxa"/>
          </w:tcPr>
          <w:p w:rsidR="006A47BA" w:rsidRPr="004F6CE9" w:rsidRDefault="006A47BA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1233,488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06" w:rsidRDefault="00CD2206">
      <w:r>
        <w:separator/>
      </w:r>
    </w:p>
  </w:endnote>
  <w:endnote w:type="continuationSeparator" w:id="1">
    <w:p w:rsidR="00CD2206" w:rsidRDefault="00CD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06" w:rsidRDefault="00CD2206">
      <w:r>
        <w:separator/>
      </w:r>
    </w:p>
  </w:footnote>
  <w:footnote w:type="continuationSeparator" w:id="1">
    <w:p w:rsidR="00CD2206" w:rsidRDefault="00CD2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7A99"/>
    <w:rsid w:val="004806CF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4500"/>
    <w:rsid w:val="00DA0F97"/>
    <w:rsid w:val="00DA10B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C18BA"/>
    <w:rsid w:val="00EC3F47"/>
    <w:rsid w:val="00EC449A"/>
    <w:rsid w:val="00EC5E92"/>
    <w:rsid w:val="00EC7B85"/>
    <w:rsid w:val="00ED10BE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355F-056F-4EB5-80D7-74117CAE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1</cp:revision>
  <cp:lastPrinted>2020-11-24T06:44:00Z</cp:lastPrinted>
  <dcterms:created xsi:type="dcterms:W3CDTF">2019-11-20T12:46:00Z</dcterms:created>
  <dcterms:modified xsi:type="dcterms:W3CDTF">2020-11-24T06:51:00Z</dcterms:modified>
</cp:coreProperties>
</file>