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82F6B">
        <w:rPr>
          <w:rFonts w:ascii="Arial" w:hAnsi="Arial" w:cs="Arial"/>
          <w:b/>
          <w:sz w:val="32"/>
          <w:szCs w:val="32"/>
        </w:rPr>
        <w:t xml:space="preserve">23 </w:t>
      </w:r>
      <w:r w:rsidR="00B84D60">
        <w:rPr>
          <w:rFonts w:ascii="Arial" w:hAnsi="Arial" w:cs="Arial"/>
          <w:b/>
          <w:sz w:val="32"/>
          <w:szCs w:val="32"/>
        </w:rPr>
        <w:t>октября</w:t>
      </w:r>
      <w:r w:rsidR="00111FE0">
        <w:rPr>
          <w:rFonts w:ascii="Arial" w:hAnsi="Arial" w:cs="Arial"/>
          <w:b/>
          <w:sz w:val="32"/>
          <w:szCs w:val="32"/>
        </w:rPr>
        <w:t xml:space="preserve"> 2021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111FE0">
        <w:rPr>
          <w:rFonts w:ascii="Arial" w:hAnsi="Arial" w:cs="Arial"/>
          <w:b/>
          <w:sz w:val="32"/>
          <w:szCs w:val="32"/>
        </w:rPr>
        <w:t>№ 60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CC1610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9A55A9"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11FE0" w:rsidRPr="00E27BBA">
        <w:rPr>
          <w:rFonts w:ascii="Arial" w:hAnsi="Arial" w:cs="Arial"/>
          <w:sz w:val="24"/>
          <w:szCs w:val="24"/>
        </w:rPr>
        <w:t>от</w:t>
      </w:r>
      <w:r w:rsidR="00111FE0">
        <w:rPr>
          <w:rFonts w:ascii="Arial" w:hAnsi="Arial" w:cs="Arial"/>
          <w:sz w:val="24"/>
          <w:szCs w:val="24"/>
        </w:rPr>
        <w:t xml:space="preserve"> 15.01.2021года №2</w:t>
      </w:r>
      <w:r w:rsidR="00111FE0" w:rsidRPr="00793A29">
        <w:rPr>
          <w:rFonts w:ascii="Arial" w:hAnsi="Arial" w:cs="Arial"/>
          <w:sz w:val="24"/>
          <w:szCs w:val="24"/>
        </w:rPr>
        <w:t xml:space="preserve"> «</w:t>
      </w:r>
      <w:r w:rsidR="00111FE0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644E6C" w:rsidRPr="00E27BBA">
        <w:rPr>
          <w:rFonts w:ascii="Arial" w:hAnsi="Arial" w:cs="Arial"/>
          <w:sz w:val="24"/>
          <w:szCs w:val="24"/>
        </w:rPr>
        <w:t xml:space="preserve">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C95709" w:rsidRPr="009A55A9" w:rsidRDefault="009E3A0E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1. Утвердить прилагаем</w:t>
      </w:r>
      <w:r w:rsidR="009A55A9">
        <w:rPr>
          <w:rFonts w:ascii="Arial" w:hAnsi="Arial" w:cs="Arial"/>
          <w:sz w:val="24"/>
          <w:szCs w:val="24"/>
        </w:rPr>
        <w:t xml:space="preserve">ую муниципальную программу </w:t>
      </w:r>
      <w:r w:rsidR="009A55A9" w:rsidRPr="009A55A9">
        <w:rPr>
          <w:rFonts w:ascii="Arial" w:hAnsi="Arial" w:cs="Arial"/>
          <w:sz w:val="24"/>
          <w:szCs w:val="24"/>
        </w:rPr>
        <w:t>«</w:t>
      </w:r>
      <w:r w:rsidR="009A55A9" w:rsidRPr="009A55A9">
        <w:rPr>
          <w:rFonts w:ascii="Arial" w:hAnsi="Arial" w:cs="Arial"/>
          <w:iCs/>
          <w:color w:val="000000"/>
          <w:sz w:val="24"/>
          <w:szCs w:val="24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</w:t>
      </w:r>
      <w:r w:rsidR="00C95709" w:rsidRPr="009A55A9">
        <w:rPr>
          <w:rFonts w:ascii="Arial" w:hAnsi="Arial" w:cs="Arial"/>
          <w:sz w:val="24"/>
          <w:szCs w:val="24"/>
        </w:rPr>
        <w:t xml:space="preserve">» </w:t>
      </w:r>
    </w:p>
    <w:p w:rsidR="001C0C3F" w:rsidRPr="001B119F" w:rsidRDefault="00C95709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2. Признать утратившим</w:t>
      </w:r>
      <w:r w:rsidR="001C0C3F" w:rsidRPr="001B119F">
        <w:rPr>
          <w:rFonts w:ascii="Arial" w:hAnsi="Arial" w:cs="Arial"/>
          <w:sz w:val="24"/>
          <w:szCs w:val="24"/>
        </w:rPr>
        <w:t>и</w:t>
      </w:r>
      <w:r w:rsidRPr="001B119F">
        <w:rPr>
          <w:rFonts w:ascii="Arial" w:hAnsi="Arial" w:cs="Arial"/>
          <w:sz w:val="24"/>
          <w:szCs w:val="24"/>
        </w:rPr>
        <w:t xml:space="preserve"> силу постановлени</w:t>
      </w:r>
      <w:r w:rsidR="001C0C3F" w:rsidRPr="001B119F">
        <w:rPr>
          <w:rFonts w:ascii="Arial" w:hAnsi="Arial" w:cs="Arial"/>
          <w:sz w:val="24"/>
          <w:szCs w:val="24"/>
        </w:rPr>
        <w:t>я:</w:t>
      </w:r>
    </w:p>
    <w:p w:rsidR="001C0C3F" w:rsidRPr="001B119F" w:rsidRDefault="00316C68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 xml:space="preserve">от </w:t>
      </w:r>
      <w:r w:rsidR="00111FE0">
        <w:rPr>
          <w:rFonts w:ascii="Arial" w:hAnsi="Arial" w:cs="Arial"/>
          <w:sz w:val="24"/>
          <w:szCs w:val="24"/>
        </w:rPr>
        <w:t>23.10.2020 г. № 53</w:t>
      </w:r>
      <w:r w:rsidR="00827F95" w:rsidRPr="001B119F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 муниципального образования «Уланковский сельсовет» Судж</w:t>
      </w:r>
      <w:r w:rsidR="001B119F" w:rsidRPr="001B119F">
        <w:rPr>
          <w:rFonts w:ascii="Arial" w:hAnsi="Arial" w:cs="Arial"/>
          <w:sz w:val="24"/>
          <w:szCs w:val="24"/>
        </w:rPr>
        <w:t>анского района Курской области».</w:t>
      </w:r>
    </w:p>
    <w:p w:rsidR="001B119F" w:rsidRPr="001B119F" w:rsidRDefault="001B119F" w:rsidP="001B119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:rsidR="00AF7B36" w:rsidRPr="001B119F" w:rsidRDefault="001B119F" w:rsidP="001B119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7B36" w:rsidRPr="001B119F">
        <w:rPr>
          <w:rFonts w:ascii="Arial" w:hAnsi="Arial" w:cs="Arial"/>
          <w:sz w:val="24"/>
          <w:szCs w:val="24"/>
        </w:rPr>
        <w:t>. Постановление</w:t>
      </w:r>
      <w:r w:rsidR="00316C68" w:rsidRPr="001B119F">
        <w:rPr>
          <w:rFonts w:ascii="Arial" w:hAnsi="Arial" w:cs="Arial"/>
          <w:sz w:val="24"/>
          <w:szCs w:val="24"/>
        </w:rPr>
        <w:t xml:space="preserve"> вступает в силу с 1 января 20</w:t>
      </w:r>
      <w:r w:rsidR="00111FE0">
        <w:rPr>
          <w:rFonts w:ascii="Arial" w:hAnsi="Arial" w:cs="Arial"/>
          <w:sz w:val="24"/>
          <w:szCs w:val="24"/>
        </w:rPr>
        <w:t>22</w:t>
      </w:r>
      <w:r w:rsidR="00AF7B36" w:rsidRPr="001B119F">
        <w:rPr>
          <w:rFonts w:ascii="Arial" w:hAnsi="Arial" w:cs="Arial"/>
          <w:sz w:val="24"/>
          <w:szCs w:val="24"/>
        </w:rPr>
        <w:t xml:space="preserve"> года и подлежит опубликованию на официальном сайте Администрации </w:t>
      </w:r>
      <w:r w:rsidR="00827F95" w:rsidRPr="001B119F">
        <w:rPr>
          <w:rFonts w:ascii="Arial" w:hAnsi="Arial" w:cs="Arial"/>
          <w:sz w:val="24"/>
          <w:szCs w:val="24"/>
        </w:rPr>
        <w:t>Уланковского</w:t>
      </w:r>
      <w:r w:rsidR="00AF7B36" w:rsidRPr="001B119F">
        <w:rPr>
          <w:rFonts w:ascii="Arial" w:hAnsi="Arial" w:cs="Arial"/>
          <w:sz w:val="24"/>
          <w:szCs w:val="24"/>
        </w:rPr>
        <w:t xml:space="preserve"> сельсовета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 w:rsidRPr="001B119F">
        <w:rPr>
          <w:rFonts w:ascii="Arial" w:hAnsi="Arial" w:cs="Arial"/>
          <w:sz w:val="24"/>
          <w:szCs w:val="24"/>
        </w:rPr>
        <w:t>Суджанского</w:t>
      </w:r>
      <w:r w:rsidR="00AF7B36" w:rsidRPr="001B119F">
        <w:rPr>
          <w:rFonts w:ascii="Arial" w:hAnsi="Arial" w:cs="Arial"/>
          <w:sz w:val="24"/>
          <w:szCs w:val="24"/>
        </w:rPr>
        <w:t xml:space="preserve"> района .</w:t>
      </w:r>
      <w:r w:rsidR="00AF7B36"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111FE0">
        <w:rPr>
          <w:rFonts w:ascii="Arial" w:hAnsi="Arial" w:cs="Arial"/>
          <w:sz w:val="24"/>
          <w:szCs w:val="24"/>
        </w:rPr>
        <w:t>Д.А.Воронов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E3A0E" w:rsidRPr="00E27BBA" w:rsidRDefault="009E3A0E" w:rsidP="00111FE0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D82F6B">
        <w:rPr>
          <w:rFonts w:ascii="Arial" w:hAnsi="Arial" w:cs="Arial"/>
          <w:sz w:val="24"/>
          <w:szCs w:val="24"/>
        </w:rPr>
        <w:t>23.10.</w:t>
      </w:r>
      <w:r w:rsidR="00111FE0">
        <w:rPr>
          <w:rFonts w:ascii="Arial" w:hAnsi="Arial" w:cs="Arial"/>
          <w:sz w:val="24"/>
          <w:szCs w:val="24"/>
        </w:rPr>
        <w:t>2021 г</w:t>
      </w:r>
      <w:r w:rsidRPr="00E27BBA">
        <w:rPr>
          <w:rFonts w:ascii="Arial" w:hAnsi="Arial" w:cs="Arial"/>
          <w:sz w:val="24"/>
          <w:szCs w:val="24"/>
        </w:rPr>
        <w:t xml:space="preserve">. № </w:t>
      </w:r>
      <w:r w:rsidR="00111FE0">
        <w:rPr>
          <w:rFonts w:ascii="Arial" w:hAnsi="Arial" w:cs="Arial"/>
          <w:sz w:val="24"/>
          <w:szCs w:val="24"/>
        </w:rPr>
        <w:t>60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</w:t>
            </w:r>
            <w:r w:rsidR="00E94DAB">
              <w:t xml:space="preserve"> «Уланковский сельсовет» Суджанского района Курской области</w:t>
            </w:r>
            <w:r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2B0D1A">
              <w:t>по сравнению с 2021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="00D82F6B">
              <w:t xml:space="preserve"> </w:t>
            </w:r>
            <w:r w:rsidRPr="00723AA7">
              <w:t>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2F6B" w:rsidP="002B0D1A">
            <w:pPr>
              <w:spacing w:before="60" w:after="60"/>
            </w:pPr>
            <w:r>
              <w:t>202</w:t>
            </w:r>
            <w:r w:rsidR="002B0D1A">
              <w:t>2</w:t>
            </w:r>
            <w:r w:rsidR="00D80F8B">
              <w:t>- </w:t>
            </w:r>
            <w:r>
              <w:t>20</w:t>
            </w:r>
            <w:r w:rsidR="00111FE0">
              <w:t>2</w:t>
            </w:r>
            <w:r w:rsidR="002B0D1A">
              <w:t>4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 xml:space="preserve">Объемы бюджетных ассигнований </w:t>
            </w:r>
            <w:r w:rsidRPr="00723AA7">
              <w:lastRenderedPageBreak/>
              <w:t>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lastRenderedPageBreak/>
              <w:t>объем бюджетных ассигнований на реализацию П</w:t>
            </w:r>
            <w:r>
              <w:t xml:space="preserve">рограммы составляет </w:t>
            </w:r>
            <w:r w:rsidR="002B0D1A">
              <w:t>1277473,00</w:t>
            </w:r>
            <w:r w:rsidRPr="00723AA7">
              <w:t xml:space="preserve"> 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lastRenderedPageBreak/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2B0D1A">
              <w:t>1277473,00</w:t>
            </w:r>
            <w:r w:rsidR="002B0D1A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</w:t>
            </w:r>
            <w:r w:rsidR="006949C5">
              <w:t xml:space="preserve"> «Уланковский сельсовет»Суджанского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</w:t>
            </w:r>
            <w:r>
              <w:t xml:space="preserve">составляет </w:t>
            </w:r>
            <w:r w:rsidR="002B0D1A">
              <w:t>1277473,00</w:t>
            </w:r>
            <w:r w:rsidR="002B0D1A" w:rsidRPr="00723AA7">
              <w:t xml:space="preserve"> </w:t>
            </w:r>
            <w:r w:rsidRPr="00723AA7">
              <w:t>рублей</w:t>
            </w:r>
            <w:r>
              <w:t>.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C71851" w:rsidP="004F15FA">
            <w:pPr>
              <w:ind w:firstLine="34"/>
            </w:pPr>
            <w:r>
              <w:t>2022</w:t>
            </w:r>
            <w:r w:rsidR="009A55A9" w:rsidRPr="00723AA7">
              <w:t xml:space="preserve"> год –     </w:t>
            </w:r>
            <w:r w:rsidR="002B0D1A">
              <w:t>683629,00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C71851" w:rsidP="004F15FA">
            <w:pPr>
              <w:ind w:firstLine="34"/>
            </w:pPr>
            <w:r>
              <w:t>2023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 w:rsidR="002B0D1A">
              <w:t>296922,00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C71851">
              <w:t>24</w:t>
            </w:r>
            <w:r>
              <w:t xml:space="preserve"> год -      </w:t>
            </w:r>
            <w:r w:rsidR="002B0D1A">
              <w:t>296922,00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</w:t>
            </w:r>
            <w:r w:rsidR="00D82F6B">
              <w:t xml:space="preserve">ической базы </w:t>
            </w:r>
            <w:r w:rsidRPr="00723AA7">
              <w:t>,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</w:t>
            </w:r>
            <w:r w:rsidR="00D82F6B">
              <w:t>ьтурных благ.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6A47BA">
        <w:rPr>
          <w:rStyle w:val="FontStyle201"/>
          <w:rFonts w:ascii="Arial" w:hAnsi="Arial" w:cs="Arial"/>
          <w:sz w:val="24"/>
          <w:szCs w:val="24"/>
        </w:rPr>
        <w:t>01.10.202</w:t>
      </w:r>
      <w:r w:rsidR="002B0D1A">
        <w:rPr>
          <w:rStyle w:val="FontStyle201"/>
          <w:rFonts w:ascii="Arial" w:hAnsi="Arial" w:cs="Arial"/>
          <w:sz w:val="24"/>
          <w:szCs w:val="24"/>
        </w:rPr>
        <w:t>1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6A47BA">
        <w:rPr>
          <w:rStyle w:val="FontStyle201"/>
          <w:rFonts w:ascii="Arial" w:hAnsi="Arial" w:cs="Arial"/>
          <w:sz w:val="24"/>
          <w:szCs w:val="24"/>
        </w:rPr>
        <w:t>58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культурно-досуговых учреждений. 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6A47BA">
        <w:rPr>
          <w:rStyle w:val="FontStyle201"/>
          <w:rFonts w:ascii="Arial" w:hAnsi="Arial" w:cs="Arial"/>
          <w:b/>
          <w:sz w:val="24"/>
          <w:szCs w:val="24"/>
        </w:rPr>
        <w:t>01.10.202</w:t>
      </w:r>
      <w:r w:rsidR="002B0D1A">
        <w:rPr>
          <w:rStyle w:val="FontStyle201"/>
          <w:rFonts w:ascii="Arial" w:hAnsi="Arial" w:cs="Arial"/>
          <w:b/>
          <w:sz w:val="24"/>
          <w:szCs w:val="24"/>
        </w:rPr>
        <w:t>1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2701"/>
      </w:tblGrid>
      <w:tr w:rsidR="00C95709" w:rsidRPr="004F6CE9" w:rsidTr="004F6CE9">
        <w:trPr>
          <w:trHeight w:val="706"/>
        </w:trPr>
        <w:tc>
          <w:tcPr>
            <w:tcW w:w="2660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Типы учреждений культуры</w:t>
            </w:r>
          </w:p>
        </w:tc>
        <w:tc>
          <w:tcPr>
            <w:tcW w:w="3118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5) обеспечение безопасного пребывания работников культуры и посетителей в учреждении культуры;</w:t>
      </w:r>
    </w:p>
    <w:p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оснащение специальным оборудованием, музыкальными </w:t>
      </w:r>
      <w:r w:rsidRPr="009A55A9">
        <w:rPr>
          <w:rFonts w:ascii="Arial" w:hAnsi="Arial" w:cs="Arial"/>
          <w:sz w:val="24"/>
          <w:szCs w:val="24"/>
        </w:rPr>
        <w:lastRenderedPageBreak/>
        <w:t>инструментами.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Реализация Программы будет осуществляться одним этапом с 20</w:t>
      </w:r>
      <w:r w:rsidR="006A47BA">
        <w:rPr>
          <w:rStyle w:val="FontStyle201"/>
          <w:rFonts w:ascii="Arial" w:hAnsi="Arial" w:cs="Arial"/>
          <w:sz w:val="24"/>
          <w:szCs w:val="24"/>
        </w:rPr>
        <w:t>2</w:t>
      </w:r>
      <w:r w:rsidR="002B0D1A">
        <w:rPr>
          <w:rStyle w:val="FontStyle201"/>
          <w:rFonts w:ascii="Arial" w:hAnsi="Arial" w:cs="Arial"/>
          <w:sz w:val="24"/>
          <w:szCs w:val="24"/>
        </w:rPr>
        <w:t>2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202</w:t>
      </w:r>
      <w:r w:rsidR="002B0D1A">
        <w:rPr>
          <w:rStyle w:val="FontStyle201"/>
          <w:rFonts w:ascii="Arial" w:hAnsi="Arial" w:cs="Arial"/>
          <w:sz w:val="24"/>
          <w:szCs w:val="24"/>
        </w:rPr>
        <w:t>4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4. Обобщенная характеристика основных мероприятий, реализуемых муниципальными образованием «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C95709" w:rsidRPr="009A55A9" w:rsidRDefault="00F82F87" w:rsidP="006A47BA">
      <w:pPr>
        <w:pStyle w:val="Style8"/>
        <w:widowControl/>
        <w:jc w:val="both"/>
        <w:rPr>
          <w:rFonts w:ascii="Arial" w:hAnsi="Arial" w:cs="Arial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Подпрограмма  «Искусство» направлена на: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организацию и проведение мероприятий, посвященных выдающимся землякам, значимым событиям российской культуры.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«Уланковский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на 20</w:t>
      </w:r>
      <w:r w:rsidR="00111FE0">
        <w:rPr>
          <w:rFonts w:ascii="Arial" w:hAnsi="Arial" w:cs="Arial"/>
          <w:sz w:val="24"/>
          <w:szCs w:val="24"/>
        </w:rPr>
        <w:t>22</w:t>
      </w:r>
      <w:r w:rsidR="006A47BA">
        <w:rPr>
          <w:rFonts w:ascii="Arial" w:hAnsi="Arial" w:cs="Arial"/>
          <w:sz w:val="24"/>
          <w:szCs w:val="24"/>
        </w:rPr>
        <w:t xml:space="preserve">год и </w:t>
      </w:r>
      <w:r w:rsidR="00111FE0">
        <w:rPr>
          <w:rFonts w:ascii="Arial" w:hAnsi="Arial" w:cs="Arial"/>
          <w:sz w:val="24"/>
          <w:szCs w:val="24"/>
        </w:rPr>
        <w:t>на плановый период 2023</w:t>
      </w:r>
      <w:r w:rsidR="00316C68">
        <w:rPr>
          <w:rFonts w:ascii="Arial" w:hAnsi="Arial" w:cs="Arial"/>
          <w:sz w:val="24"/>
          <w:szCs w:val="24"/>
        </w:rPr>
        <w:t xml:space="preserve"> и 20</w:t>
      </w:r>
      <w:r w:rsidR="00111FE0">
        <w:rPr>
          <w:rFonts w:ascii="Arial" w:hAnsi="Arial" w:cs="Arial"/>
          <w:sz w:val="24"/>
          <w:szCs w:val="24"/>
        </w:rPr>
        <w:t>24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</w:t>
      </w:r>
      <w:r w:rsidR="002B0D1A">
        <w:rPr>
          <w:rFonts w:ascii="Arial" w:hAnsi="Arial" w:cs="Arial"/>
          <w:sz w:val="24"/>
          <w:szCs w:val="24"/>
        </w:rPr>
        <w:t>образования</w:t>
      </w:r>
      <w:r w:rsidR="006949C5" w:rsidRPr="006949C5">
        <w:rPr>
          <w:rFonts w:ascii="Arial" w:hAnsi="Arial" w:cs="Arial"/>
          <w:sz w:val="24"/>
          <w:szCs w:val="24"/>
        </w:rPr>
        <w:t xml:space="preserve"> составляет </w:t>
      </w:r>
      <w:r w:rsidR="002B0D1A" w:rsidRPr="002B0D1A">
        <w:rPr>
          <w:rFonts w:ascii="Arial" w:hAnsi="Arial" w:cs="Arial"/>
          <w:sz w:val="24"/>
          <w:szCs w:val="24"/>
        </w:rPr>
        <w:t>1277473,00</w:t>
      </w:r>
      <w:r w:rsidR="006A47BA" w:rsidRPr="00723AA7"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>рублей.</w:t>
      </w:r>
    </w:p>
    <w:p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2B0D1A" w:rsidRPr="002B0D1A" w:rsidRDefault="002B0D1A" w:rsidP="002B0D1A">
      <w:pPr>
        <w:ind w:firstLine="34"/>
        <w:rPr>
          <w:rFonts w:ascii="Arial" w:hAnsi="Arial" w:cs="Arial"/>
          <w:sz w:val="24"/>
          <w:szCs w:val="24"/>
        </w:rPr>
      </w:pPr>
      <w:r w:rsidRPr="002B0D1A">
        <w:rPr>
          <w:rFonts w:ascii="Arial" w:hAnsi="Arial" w:cs="Arial"/>
          <w:sz w:val="24"/>
          <w:szCs w:val="24"/>
        </w:rPr>
        <w:t>2022 год –     683629,00  рублей;</w:t>
      </w:r>
    </w:p>
    <w:p w:rsidR="002B0D1A" w:rsidRPr="002B0D1A" w:rsidRDefault="002B0D1A" w:rsidP="002B0D1A">
      <w:pPr>
        <w:ind w:firstLine="34"/>
        <w:rPr>
          <w:rFonts w:ascii="Arial" w:hAnsi="Arial" w:cs="Arial"/>
          <w:sz w:val="24"/>
          <w:szCs w:val="24"/>
        </w:rPr>
      </w:pPr>
      <w:r w:rsidRPr="002B0D1A">
        <w:rPr>
          <w:rFonts w:ascii="Arial" w:hAnsi="Arial" w:cs="Arial"/>
          <w:sz w:val="24"/>
          <w:szCs w:val="24"/>
        </w:rPr>
        <w:t>2023 год –     296922,00рублей;</w:t>
      </w:r>
    </w:p>
    <w:p w:rsidR="002B0D1A" w:rsidRPr="00723AA7" w:rsidRDefault="002B0D1A" w:rsidP="002B0D1A">
      <w:pPr>
        <w:ind w:firstLine="34"/>
      </w:pPr>
      <w:r w:rsidRPr="002B0D1A">
        <w:rPr>
          <w:rFonts w:ascii="Arial" w:hAnsi="Arial" w:cs="Arial"/>
          <w:sz w:val="24"/>
          <w:szCs w:val="24"/>
        </w:rPr>
        <w:t>2024 год -      296922,00рублей</w:t>
      </w:r>
      <w:r w:rsidRPr="00723AA7">
        <w:t>;</w:t>
      </w:r>
    </w:p>
    <w:p w:rsidR="00C95709" w:rsidRPr="00E27BBA" w:rsidRDefault="00C95709" w:rsidP="006949C5">
      <w:pPr>
        <w:pStyle w:val="16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риски ее реализации.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федеральном 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 в сферах культуры, и смежных областях.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6A47BA" w:rsidRDefault="00C95709" w:rsidP="006A47BA">
      <w:pPr>
        <w:pStyle w:val="Style3"/>
        <w:widowControl/>
        <w:spacing w:line="240" w:lineRule="auto"/>
        <w:ind w:firstLine="0"/>
        <w:rPr>
          <w:rFonts w:ascii="Arial" w:hAnsi="Arial" w:cs="Arial"/>
          <w:b/>
          <w:bCs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:rsidR="00F82F87" w:rsidRPr="00E27BBA" w:rsidRDefault="00C95709" w:rsidP="006A47BA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вы</w:t>
      </w:r>
      <w:r w:rsidR="006A47BA">
        <w:rPr>
          <w:rStyle w:val="FontStyle201"/>
          <w:rFonts w:ascii="Arial" w:hAnsi="Arial" w:cs="Arial"/>
          <w:sz w:val="24"/>
          <w:szCs w:val="24"/>
        </w:rPr>
        <w:t>полнения мероприятий программы;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B2C6A" w:rsidRDefault="00FB2C6A" w:rsidP="006949C5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FB2C6A" w:rsidRPr="00E27BBA" w:rsidRDefault="00FB2C6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lastRenderedPageBreak/>
        <w:t xml:space="preserve">Подпрограмма 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муниципальной программы «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E94DAB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E94DAB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E94DAB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="00E94DAB" w:rsidRPr="00F82F87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F82F87">
        <w:rPr>
          <w:rStyle w:val="FontStyle202"/>
          <w:rFonts w:ascii="Arial" w:hAnsi="Arial" w:cs="Arial"/>
          <w:sz w:val="32"/>
          <w:szCs w:val="32"/>
        </w:rPr>
        <w:t>и»</w:t>
      </w:r>
    </w:p>
    <w:p w:rsidR="00C95709" w:rsidRPr="00F82F87" w:rsidRDefault="00C95709" w:rsidP="00F82F87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B" w:rsidRPr="00F439BA" w:rsidRDefault="006A47BA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Fonts w:ascii="Arial" w:hAnsi="Arial" w:cs="Arial"/>
                <w:sz w:val="24"/>
                <w:szCs w:val="24"/>
              </w:rPr>
              <w:t>2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 w:rsidR="002B0D1A">
              <w:rPr>
                <w:rFonts w:ascii="Arial" w:hAnsi="Arial" w:cs="Arial"/>
                <w:sz w:val="24"/>
                <w:szCs w:val="24"/>
              </w:rPr>
              <w:t>4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6949C5" w:rsidRPr="006949C5" w:rsidRDefault="002B0D1A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1A">
              <w:rPr>
                <w:rFonts w:ascii="Arial" w:hAnsi="Arial" w:cs="Arial"/>
                <w:sz w:val="24"/>
                <w:szCs w:val="24"/>
              </w:rPr>
              <w:t>1277473,00</w:t>
            </w:r>
            <w:r w:rsidR="006A47BA" w:rsidRPr="00723AA7">
              <w:t xml:space="preserve"> </w:t>
            </w:r>
            <w:r w:rsidR="006949C5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2B0D1A" w:rsidRPr="002B0D1A" w:rsidRDefault="006A47BA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2B0D1A">
              <w:rPr>
                <w:rFonts w:ascii="Arial" w:hAnsi="Arial" w:cs="Arial"/>
                <w:sz w:val="24"/>
                <w:szCs w:val="24"/>
              </w:rPr>
              <w:t>202</w:t>
            </w:r>
            <w:r w:rsidR="002B0D1A" w:rsidRPr="002B0D1A">
              <w:rPr>
                <w:rFonts w:ascii="Arial" w:hAnsi="Arial" w:cs="Arial"/>
                <w:sz w:val="24"/>
                <w:szCs w:val="24"/>
              </w:rPr>
              <w:t>2</w:t>
            </w:r>
            <w:r w:rsidRPr="002B0D1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B0D1A" w:rsidRPr="002B0D1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B0D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B0D1A" w:rsidRPr="002B0D1A">
              <w:rPr>
                <w:rFonts w:ascii="Arial" w:hAnsi="Arial" w:cs="Arial"/>
                <w:sz w:val="24"/>
                <w:szCs w:val="24"/>
              </w:rPr>
              <w:t xml:space="preserve"> 683629,00  рублей;</w:t>
            </w:r>
          </w:p>
          <w:p w:rsidR="002B0D1A" w:rsidRPr="002B0D1A" w:rsidRDefault="002B0D1A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2B0D1A">
              <w:rPr>
                <w:rFonts w:ascii="Arial" w:hAnsi="Arial" w:cs="Arial"/>
                <w:sz w:val="24"/>
                <w:szCs w:val="24"/>
              </w:rPr>
              <w:t>2023 год –     296922,00рублей;</w:t>
            </w:r>
          </w:p>
          <w:p w:rsidR="002B0D1A" w:rsidRPr="00723AA7" w:rsidRDefault="002B0D1A" w:rsidP="002B0D1A">
            <w:pPr>
              <w:ind w:firstLine="34"/>
            </w:pPr>
            <w:r w:rsidRPr="002B0D1A">
              <w:rPr>
                <w:rFonts w:ascii="Arial" w:hAnsi="Arial" w:cs="Arial"/>
                <w:sz w:val="24"/>
                <w:szCs w:val="24"/>
              </w:rPr>
              <w:t>2024 год -      296922,00рублей</w:t>
            </w:r>
            <w:r w:rsidRPr="00723AA7">
              <w:t>;</w:t>
            </w:r>
          </w:p>
          <w:p w:rsidR="00E94DAB" w:rsidRPr="006949C5" w:rsidRDefault="00E94DAB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Одним из приоритетных направлений деятельности является поддержка молодых дарований.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lastRenderedPageBreak/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оказания культурно-досуговых услуг населению;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проектов, направленных на развитие сельской культуры;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 xml:space="preserve">укрепление и обновление материально-технической базы культурно-досуговых учреждений, находящихся на территории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</w:t>
      </w:r>
      <w:r w:rsidR="006A47B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111FE0">
        <w:rPr>
          <w:rStyle w:val="FontStyle201"/>
          <w:rFonts w:ascii="Arial" w:hAnsi="Arial" w:cs="Arial"/>
          <w:sz w:val="24"/>
          <w:szCs w:val="24"/>
        </w:rPr>
        <w:t>учреждениях, по сравнению с 2021</w:t>
      </w:r>
      <w:r w:rsidRPr="00E27BBA">
        <w:rPr>
          <w:rStyle w:val="FontStyle201"/>
          <w:rFonts w:ascii="Arial" w:hAnsi="Arial" w:cs="Arial"/>
          <w:sz w:val="24"/>
          <w:szCs w:val="24"/>
        </w:rPr>
        <w:t>годом;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</w:p>
    <w:p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="0002599D" w:rsidRPr="00E27BBA">
        <w:rPr>
          <w:rFonts w:ascii="Arial" w:hAnsi="Arial" w:cs="Arial"/>
          <w:sz w:val="24"/>
          <w:szCs w:val="24"/>
        </w:rPr>
        <w:t>»</w:t>
      </w:r>
    </w:p>
    <w:p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Перечень основных мероприятий муниципальной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Pr="00F82F87">
        <w:rPr>
          <w:rFonts w:ascii="Arial" w:hAnsi="Arial" w:cs="Arial"/>
          <w:b/>
          <w:sz w:val="32"/>
          <w:szCs w:val="32"/>
        </w:rPr>
        <w:t xml:space="preserve">программы </w:t>
      </w: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«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6949C5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6949C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6949C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Fonts w:ascii="Arial" w:hAnsi="Arial" w:cs="Arial"/>
          <w:b/>
          <w:sz w:val="32"/>
          <w:szCs w:val="32"/>
        </w:rPr>
        <w:t>»</w:t>
      </w: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Последствия нереализации</w:t>
            </w:r>
          </w:p>
          <w:p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 программы «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Развитие культуры муниципального образования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«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Уланковский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сельсовет» 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Суджанского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района Курской области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сохранение и развитие народного творчества, обеспечивают деятельность учреждений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культурно - досугового типа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мероприятий по укреплению материально -технической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 обслуживания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Отсутствие формирования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отношение среднемесячной номинальной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функций казенных учреждений культуры муниципального образования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2B0D1A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Наличие полной и исчерпывающей информации об объектах нематериального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культурного наследия,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высокий уровень качества и доступности культурно-досуговых услуг;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снижение качества оказания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муниципальных услуг(выполнения работ)в области 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населения;обеспеченность зрительскими местами</w:t>
            </w:r>
          </w:p>
        </w:tc>
      </w:tr>
    </w:tbl>
    <w:p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:rsidR="00142302" w:rsidRPr="00E642EC" w:rsidRDefault="006949C5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>
        <w:rPr>
          <w:rStyle w:val="FontStyle202"/>
          <w:rFonts w:ascii="Arial" w:hAnsi="Arial" w:cs="Arial"/>
          <w:sz w:val="32"/>
          <w:szCs w:val="32"/>
        </w:rPr>
        <w:t>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Style w:val="FontStyle202"/>
          <w:rFonts w:ascii="Arial" w:hAnsi="Arial" w:cs="Arial"/>
          <w:sz w:val="16"/>
          <w:szCs w:val="16"/>
        </w:rPr>
        <w:t>»</w:t>
      </w:r>
    </w:p>
    <w:p w:rsidR="00142302" w:rsidRPr="00E27BBA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14034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440"/>
        <w:gridCol w:w="720"/>
        <w:gridCol w:w="900"/>
        <w:gridCol w:w="1620"/>
        <w:gridCol w:w="720"/>
        <w:gridCol w:w="1364"/>
        <w:gridCol w:w="1440"/>
        <w:gridCol w:w="1260"/>
      </w:tblGrid>
      <w:tr w:rsidR="00142302" w:rsidRPr="004F6CE9" w:rsidTr="00316C68">
        <w:trPr>
          <w:trHeight w:val="615"/>
        </w:trPr>
        <w:tc>
          <w:tcPr>
            <w:tcW w:w="2050" w:type="dxa"/>
            <w:vMerge w:val="restart"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4" w:type="dxa"/>
            <w:gridSpan w:val="3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6A47BA" w:rsidRPr="004F6CE9" w:rsidTr="00316C68">
        <w:trPr>
          <w:trHeight w:val="390"/>
        </w:trPr>
        <w:tc>
          <w:tcPr>
            <w:tcW w:w="2050" w:type="dxa"/>
            <w:vMerge/>
          </w:tcPr>
          <w:p w:rsidR="006A47BA" w:rsidRPr="004F6CE9" w:rsidRDefault="006A47BA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 Пр</w:t>
            </w:r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4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AD2332" w:rsidRPr="004F6CE9" w:rsidTr="00316C68">
        <w:tc>
          <w:tcPr>
            <w:tcW w:w="205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AD2332" w:rsidRPr="006949C5" w:rsidRDefault="00AD2332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«</w:t>
            </w:r>
            <w:r w:rsidR="006949C5" w:rsidRPr="006949C5">
              <w:rPr>
                <w:rStyle w:val="FontStyle202"/>
                <w:rFonts w:ascii="Arial" w:hAnsi="Arial" w:cs="Arial"/>
                <w:sz w:val="16"/>
                <w:szCs w:val="16"/>
              </w:rPr>
              <w:t>Развитие культуры муниципального образования «Уланковский сельсовет» Суджанского района Курской области</w:t>
            </w: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»</w:t>
            </w:r>
          </w:p>
        </w:tc>
        <w:tc>
          <w:tcPr>
            <w:tcW w:w="144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</w:t>
            </w:r>
            <w:r w:rsidR="00BE2EDE"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AD2332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2071,429</w:t>
            </w:r>
          </w:p>
        </w:tc>
        <w:tc>
          <w:tcPr>
            <w:tcW w:w="1440" w:type="dxa"/>
          </w:tcPr>
          <w:p w:rsidR="00AD2332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1856,686</w:t>
            </w:r>
          </w:p>
        </w:tc>
        <w:tc>
          <w:tcPr>
            <w:tcW w:w="1260" w:type="dxa"/>
          </w:tcPr>
          <w:p w:rsidR="00AD2332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1233,488</w:t>
            </w:r>
          </w:p>
        </w:tc>
      </w:tr>
      <w:tr w:rsidR="006A47BA" w:rsidRPr="004F6CE9" w:rsidTr="00316C68">
        <w:tc>
          <w:tcPr>
            <w:tcW w:w="2050" w:type="dxa"/>
          </w:tcPr>
          <w:p w:rsidR="006A47BA" w:rsidRPr="004F6CE9" w:rsidRDefault="006A47BA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44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2071,429</w:t>
            </w:r>
          </w:p>
        </w:tc>
        <w:tc>
          <w:tcPr>
            <w:tcW w:w="144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1856,686</w:t>
            </w:r>
          </w:p>
        </w:tc>
        <w:tc>
          <w:tcPr>
            <w:tcW w:w="126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1233,488</w:t>
            </w:r>
          </w:p>
        </w:tc>
      </w:tr>
      <w:tr w:rsidR="006A47BA" w:rsidRPr="004F6CE9" w:rsidTr="00316C68">
        <w:trPr>
          <w:trHeight w:val="2597"/>
        </w:trPr>
        <w:tc>
          <w:tcPr>
            <w:tcW w:w="2050" w:type="dxa"/>
          </w:tcPr>
          <w:p w:rsidR="006A47BA" w:rsidRPr="004F6CE9" w:rsidRDefault="006A47BA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6A47BA" w:rsidRPr="004F6CE9" w:rsidRDefault="006A47BA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440" w:type="dxa"/>
          </w:tcPr>
          <w:p w:rsidR="006A47BA" w:rsidRPr="004F6CE9" w:rsidRDefault="006A47BA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01302С1401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2071,429</w:t>
            </w:r>
          </w:p>
        </w:tc>
        <w:tc>
          <w:tcPr>
            <w:tcW w:w="144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1856,686</w:t>
            </w:r>
          </w:p>
        </w:tc>
        <w:tc>
          <w:tcPr>
            <w:tcW w:w="126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1233,488</w:t>
            </w:r>
          </w:p>
        </w:tc>
      </w:tr>
    </w:tbl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4C" w:rsidRDefault="003F224C">
      <w:r>
        <w:separator/>
      </w:r>
    </w:p>
  </w:endnote>
  <w:endnote w:type="continuationSeparator" w:id="1">
    <w:p w:rsidR="003F224C" w:rsidRDefault="003F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4C" w:rsidRDefault="003F224C">
      <w:r>
        <w:separator/>
      </w:r>
    </w:p>
  </w:footnote>
  <w:footnote w:type="continuationSeparator" w:id="1">
    <w:p w:rsidR="003F224C" w:rsidRDefault="003F2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1FE0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0D1A"/>
    <w:rsid w:val="002B45BD"/>
    <w:rsid w:val="002B60F9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2FAA"/>
    <w:rsid w:val="003C3233"/>
    <w:rsid w:val="003C6245"/>
    <w:rsid w:val="003C76A3"/>
    <w:rsid w:val="003C7F1F"/>
    <w:rsid w:val="003D470F"/>
    <w:rsid w:val="003E0481"/>
    <w:rsid w:val="003E226D"/>
    <w:rsid w:val="003E5580"/>
    <w:rsid w:val="003E5F54"/>
    <w:rsid w:val="003F1408"/>
    <w:rsid w:val="003F224C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44B8"/>
    <w:rsid w:val="00477A99"/>
    <w:rsid w:val="004806CF"/>
    <w:rsid w:val="00493938"/>
    <w:rsid w:val="004957AA"/>
    <w:rsid w:val="004A028B"/>
    <w:rsid w:val="004A0C34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7BA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8CA"/>
    <w:rsid w:val="007728E1"/>
    <w:rsid w:val="00773C47"/>
    <w:rsid w:val="007759F5"/>
    <w:rsid w:val="00782C1F"/>
    <w:rsid w:val="007858A0"/>
    <w:rsid w:val="00786F8A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C44AB"/>
    <w:rsid w:val="008C481D"/>
    <w:rsid w:val="008C4DE3"/>
    <w:rsid w:val="008C55B8"/>
    <w:rsid w:val="008C5EB1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138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D1EFC"/>
    <w:rsid w:val="00BD393B"/>
    <w:rsid w:val="00BD55FD"/>
    <w:rsid w:val="00BD6A76"/>
    <w:rsid w:val="00BE015C"/>
    <w:rsid w:val="00BE0F26"/>
    <w:rsid w:val="00BE2EDE"/>
    <w:rsid w:val="00BE597A"/>
    <w:rsid w:val="00BE6781"/>
    <w:rsid w:val="00BF58A9"/>
    <w:rsid w:val="00C01E1D"/>
    <w:rsid w:val="00C024DF"/>
    <w:rsid w:val="00C03B03"/>
    <w:rsid w:val="00C05109"/>
    <w:rsid w:val="00C053CA"/>
    <w:rsid w:val="00C05F3A"/>
    <w:rsid w:val="00C07206"/>
    <w:rsid w:val="00C0742C"/>
    <w:rsid w:val="00C11A30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1851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BF7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2206"/>
    <w:rsid w:val="00CD557F"/>
    <w:rsid w:val="00CD55BF"/>
    <w:rsid w:val="00CE519A"/>
    <w:rsid w:val="00CF0B74"/>
    <w:rsid w:val="00D11A32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2F6B"/>
    <w:rsid w:val="00D834BC"/>
    <w:rsid w:val="00D84B91"/>
    <w:rsid w:val="00D94500"/>
    <w:rsid w:val="00DA0F97"/>
    <w:rsid w:val="00DA10BF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B71B2"/>
    <w:rsid w:val="00EC18BA"/>
    <w:rsid w:val="00EC3F47"/>
    <w:rsid w:val="00EC449A"/>
    <w:rsid w:val="00EC5E92"/>
    <w:rsid w:val="00EC7B85"/>
    <w:rsid w:val="00ED10BE"/>
    <w:rsid w:val="00ED1DE6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18C6"/>
    <w:rsid w:val="00F52937"/>
    <w:rsid w:val="00F532A9"/>
    <w:rsid w:val="00F554F5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 Знак Знак1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2">
    <w:name w:val="Основной текст_"/>
    <w:link w:val="16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6">
    <w:name w:val="Основной текст1"/>
    <w:basedOn w:val="a0"/>
    <w:link w:val="af2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53BC-D5AB-410B-8E70-AA876573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3</cp:revision>
  <cp:lastPrinted>2021-12-14T09:02:00Z</cp:lastPrinted>
  <dcterms:created xsi:type="dcterms:W3CDTF">2021-12-02T11:01:00Z</dcterms:created>
  <dcterms:modified xsi:type="dcterms:W3CDTF">2021-12-14T09:08:00Z</dcterms:modified>
</cp:coreProperties>
</file>