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3EAF" w:rsidRPr="00E27BBA" w:rsidRDefault="000F3EAF" w:rsidP="000F3EA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D3FC9">
        <w:rPr>
          <w:rFonts w:ascii="Arial" w:hAnsi="Arial" w:cs="Arial"/>
          <w:b/>
          <w:sz w:val="32"/>
          <w:szCs w:val="32"/>
        </w:rPr>
        <w:t xml:space="preserve">10 марта </w:t>
      </w:r>
      <w:r w:rsidR="00F904F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2020 </w:t>
      </w:r>
      <w:r w:rsidRPr="00E27BBA">
        <w:rPr>
          <w:rFonts w:ascii="Arial" w:hAnsi="Arial" w:cs="Arial"/>
          <w:b/>
          <w:sz w:val="32"/>
          <w:szCs w:val="32"/>
        </w:rPr>
        <w:t>г</w:t>
      </w:r>
      <w:r w:rsidR="006D3FC9">
        <w:rPr>
          <w:rFonts w:ascii="Arial" w:hAnsi="Arial" w:cs="Arial"/>
          <w:b/>
          <w:sz w:val="32"/>
          <w:szCs w:val="32"/>
        </w:rPr>
        <w:t>ода №14.2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170A0D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Суджансокго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от 28.10.2019 года  №73 «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A0D" w:rsidRPr="00170A0D" w:rsidRDefault="00170A0D" w:rsidP="00170A0D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>1.Изложить  муниципальную программу «Обеспечение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170A0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70A0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района Курской области» в новой редакции.</w:t>
      </w:r>
    </w:p>
    <w:p w:rsidR="00170A0D" w:rsidRPr="00170A0D" w:rsidRDefault="00170A0D" w:rsidP="00170A0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 xml:space="preserve">2.Контороль за исполнение данного постановления возложить на заместителя главы администрации </w:t>
      </w:r>
      <w:proofErr w:type="spellStart"/>
      <w:r w:rsidRPr="00170A0D">
        <w:rPr>
          <w:rFonts w:ascii="Arial" w:hAnsi="Arial" w:cs="Arial"/>
          <w:sz w:val="24"/>
          <w:szCs w:val="24"/>
        </w:rPr>
        <w:t>Череповскую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Л.П. </w:t>
      </w:r>
    </w:p>
    <w:p w:rsidR="00E4265F" w:rsidRPr="00170A0D" w:rsidRDefault="000535B6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 w:rsidRPr="00170A0D">
        <w:rPr>
          <w:rFonts w:ascii="Arial" w:hAnsi="Arial" w:cs="Arial"/>
          <w:sz w:val="24"/>
          <w:szCs w:val="24"/>
          <w:lang w:eastAsia="ar-SA"/>
        </w:rPr>
        <w:t>.</w:t>
      </w:r>
    </w:p>
    <w:p w:rsidR="00E4265F" w:rsidRPr="00170A0D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 w:rsidRPr="00170A0D">
        <w:rPr>
          <w:rFonts w:ascii="Arial" w:hAnsi="Arial" w:cs="Arial"/>
          <w:lang w:eastAsia="ar-SA"/>
        </w:rPr>
        <w:t xml:space="preserve"> </w:t>
      </w:r>
      <w:r w:rsidR="00170A0D" w:rsidRPr="00170A0D">
        <w:rPr>
          <w:rFonts w:ascii="Arial" w:hAnsi="Arial" w:cs="Arial"/>
          <w:lang w:eastAsia="ar-SA"/>
        </w:rPr>
        <w:t>3</w:t>
      </w:r>
      <w:r w:rsidR="00E4265F" w:rsidRPr="00170A0D">
        <w:rPr>
          <w:rFonts w:ascii="Arial" w:hAnsi="Arial" w:cs="Arial"/>
          <w:lang w:eastAsia="ar-SA"/>
        </w:rPr>
        <w:t xml:space="preserve">. </w:t>
      </w:r>
      <w:r w:rsidR="00E4265F" w:rsidRPr="00170A0D">
        <w:rPr>
          <w:rFonts w:ascii="Arial" w:hAnsi="Arial" w:cs="Arial"/>
        </w:rPr>
        <w:t>Настоящее постанов</w:t>
      </w:r>
      <w:r w:rsidR="00CC3B3F" w:rsidRPr="00170A0D">
        <w:rPr>
          <w:rFonts w:ascii="Arial" w:hAnsi="Arial" w:cs="Arial"/>
        </w:rPr>
        <w:t xml:space="preserve">ление </w:t>
      </w:r>
      <w:r w:rsidR="00913A22" w:rsidRPr="00170A0D">
        <w:rPr>
          <w:rFonts w:ascii="Arial" w:hAnsi="Arial" w:cs="Arial"/>
        </w:rPr>
        <w:t>вступает в силу 01.01.2020</w:t>
      </w:r>
      <w:r w:rsidR="00E4265F" w:rsidRPr="00170A0D">
        <w:rPr>
          <w:rFonts w:ascii="Arial" w:hAnsi="Arial" w:cs="Arial"/>
        </w:rPr>
        <w:t xml:space="preserve"> года</w:t>
      </w:r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 w:rsidRPr="00170A0D">
        <w:rPr>
          <w:rFonts w:ascii="Arial" w:hAnsi="Arial" w:cs="Arial"/>
        </w:rPr>
        <w:t>Уланковский</w:t>
      </w:r>
      <w:proofErr w:type="spellEnd"/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 xml:space="preserve">сельсовет» </w:t>
      </w:r>
      <w:proofErr w:type="spellStart"/>
      <w:r w:rsidR="00AE4A1A" w:rsidRPr="00170A0D">
        <w:rPr>
          <w:rFonts w:ascii="Arial" w:hAnsi="Arial" w:cs="Arial"/>
        </w:rPr>
        <w:t>Суджанского</w:t>
      </w:r>
      <w:proofErr w:type="spellEnd"/>
      <w:r w:rsidR="00E4265F" w:rsidRPr="00170A0D">
        <w:rPr>
          <w:rFonts w:ascii="Arial" w:hAnsi="Arial" w:cs="Arial"/>
        </w:rPr>
        <w:t xml:space="preserve"> района Курской области в сети Интернет. </w:t>
      </w: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306A9B" w:rsidRPr="000535B6" w:rsidRDefault="00A36AE1" w:rsidP="00F904F6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proofErr w:type="spellStart"/>
      <w:r w:rsidR="003D0831">
        <w:rPr>
          <w:rFonts w:ascii="Arial" w:hAnsi="Arial" w:cs="Arial"/>
          <w:lang w:eastAsia="ar-SA"/>
        </w:rPr>
        <w:t>В.И.Погуляев</w:t>
      </w:r>
      <w:proofErr w:type="spellEnd"/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28.10.2019 года №73</w:t>
      </w:r>
    </w:p>
    <w:p w:rsidR="003D0831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 редакции  от 13.12.2019 г №88,</w:t>
      </w:r>
      <w:proofErr w:type="gramEnd"/>
    </w:p>
    <w:p w:rsidR="003D0831" w:rsidRPr="00793A29" w:rsidRDefault="003D0831" w:rsidP="006D3FC9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10.03.2020 </w:t>
      </w:r>
      <w:r w:rsidR="006D3FC9">
        <w:rPr>
          <w:rFonts w:ascii="Arial" w:hAnsi="Arial" w:cs="Arial"/>
          <w:sz w:val="24"/>
          <w:szCs w:val="24"/>
        </w:rPr>
        <w:t>года №14.2</w:t>
      </w:r>
      <w:r>
        <w:rPr>
          <w:rFonts w:ascii="Arial" w:hAnsi="Arial" w:cs="Arial"/>
          <w:sz w:val="24"/>
          <w:szCs w:val="24"/>
        </w:rPr>
        <w:t>)</w:t>
      </w: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 муниципальной программы 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6D3FC9">
              <w:rPr>
                <w:rFonts w:ascii="Arial" w:hAnsi="Arial" w:cs="Arial"/>
                <w:sz w:val="24"/>
                <w:szCs w:val="24"/>
              </w:rPr>
              <w:t xml:space="preserve"> 530,774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6D3FC9">
              <w:rPr>
                <w:sz w:val="24"/>
                <w:szCs w:val="24"/>
              </w:rPr>
              <w:t>378,699</w:t>
            </w:r>
            <w:r w:rsidR="00BD2F59">
              <w:rPr>
                <w:sz w:val="24"/>
                <w:szCs w:val="24"/>
              </w:rPr>
              <w:t>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E4A1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93,184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E4A1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58,891 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</w:t>
      </w:r>
      <w:r w:rsidR="00E4265F" w:rsidRPr="00793A29">
        <w:rPr>
          <w:rFonts w:ascii="Arial" w:hAnsi="Arial" w:cs="Arial"/>
          <w:sz w:val="24"/>
          <w:szCs w:val="24"/>
        </w:rPr>
        <w:lastRenderedPageBreak/>
        <w:t>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D3FC9" w:rsidRPr="00793A29" w:rsidRDefault="00A36AE1" w:rsidP="006D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-2022</w:t>
      </w:r>
      <w:r w:rsidR="00E4265F"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6D3FC9">
        <w:rPr>
          <w:rFonts w:ascii="Arial" w:hAnsi="Arial" w:cs="Arial"/>
          <w:sz w:val="24"/>
          <w:szCs w:val="24"/>
        </w:rPr>
        <w:t>530,774тыс</w:t>
      </w:r>
      <w:proofErr w:type="gramStart"/>
      <w:r w:rsidR="006D3FC9">
        <w:rPr>
          <w:rFonts w:ascii="Arial" w:hAnsi="Arial" w:cs="Arial"/>
          <w:sz w:val="24"/>
          <w:szCs w:val="24"/>
        </w:rPr>
        <w:t>.</w:t>
      </w:r>
      <w:r w:rsidR="006D3FC9" w:rsidRPr="00793A29">
        <w:rPr>
          <w:rFonts w:ascii="Arial" w:hAnsi="Arial" w:cs="Arial"/>
          <w:sz w:val="24"/>
          <w:szCs w:val="24"/>
        </w:rPr>
        <w:t>р</w:t>
      </w:r>
      <w:proofErr w:type="gramEnd"/>
      <w:r w:rsidR="006D3FC9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6D3FC9" w:rsidRPr="00793A29" w:rsidRDefault="006D3FC9" w:rsidP="006D3FC9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378,699тыс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F904F6" w:rsidRPr="00793A29" w:rsidRDefault="00F904F6" w:rsidP="006D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F904F6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3D0831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D3FC9" w:rsidRPr="00793A29" w:rsidRDefault="00E4265F" w:rsidP="006D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A22">
              <w:rPr>
                <w:rFonts w:ascii="Arial" w:hAnsi="Arial" w:cs="Arial"/>
                <w:sz w:val="24"/>
                <w:szCs w:val="24"/>
              </w:rPr>
              <w:t>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="00170A0D" w:rsidRPr="00793A29">
              <w:rPr>
                <w:rFonts w:ascii="Arial" w:hAnsi="Arial" w:cs="Arial"/>
                <w:sz w:val="24"/>
                <w:szCs w:val="24"/>
              </w:rPr>
              <w:t>составляет в сумме</w:t>
            </w:r>
            <w:r w:rsidR="00170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FC9">
              <w:rPr>
                <w:rFonts w:ascii="Arial" w:hAnsi="Arial" w:cs="Arial"/>
                <w:sz w:val="24"/>
                <w:szCs w:val="24"/>
              </w:rPr>
              <w:t>530,774тыс</w:t>
            </w:r>
            <w:proofErr w:type="gramStart"/>
            <w:r w:rsidR="006D3FC9">
              <w:rPr>
                <w:rFonts w:ascii="Arial" w:hAnsi="Arial" w:cs="Arial"/>
                <w:sz w:val="24"/>
                <w:szCs w:val="24"/>
              </w:rPr>
              <w:t>.</w:t>
            </w:r>
            <w:r w:rsidR="006D3FC9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6D3FC9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6D3FC9" w:rsidRPr="00793A29" w:rsidRDefault="006D3FC9" w:rsidP="006D3FC9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378,699тыс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F904F6" w:rsidRPr="00793A29" w:rsidRDefault="00F904F6" w:rsidP="00F9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93,184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F904F6" w:rsidP="00F904F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58,891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</w:t>
      </w:r>
      <w:r w:rsidR="00E4265F" w:rsidRPr="00793A29">
        <w:rPr>
          <w:rFonts w:ascii="Arial" w:hAnsi="Arial" w:cs="Arial"/>
          <w:sz w:val="24"/>
          <w:szCs w:val="24"/>
        </w:rPr>
        <w:lastRenderedPageBreak/>
        <w:t>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 xml:space="preserve"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</w:t>
      </w:r>
      <w:r w:rsidRPr="00793A29">
        <w:rPr>
          <w:rFonts w:ascii="Arial" w:hAnsi="Arial" w:cs="Arial"/>
          <w:sz w:val="24"/>
          <w:szCs w:val="24"/>
        </w:rPr>
        <w:lastRenderedPageBreak/>
        <w:t>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D3FC9" w:rsidRPr="00793A29" w:rsidRDefault="00E4265F" w:rsidP="006D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2020-2022</w:t>
      </w:r>
      <w:r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6D3FC9">
        <w:rPr>
          <w:rFonts w:ascii="Arial" w:hAnsi="Arial" w:cs="Arial"/>
          <w:sz w:val="24"/>
          <w:szCs w:val="24"/>
        </w:rPr>
        <w:t>530,774тыс</w:t>
      </w:r>
      <w:proofErr w:type="gramStart"/>
      <w:r w:rsidR="006D3FC9">
        <w:rPr>
          <w:rFonts w:ascii="Arial" w:hAnsi="Arial" w:cs="Arial"/>
          <w:sz w:val="24"/>
          <w:szCs w:val="24"/>
        </w:rPr>
        <w:t>.</w:t>
      </w:r>
      <w:r w:rsidR="006D3FC9" w:rsidRPr="00793A29">
        <w:rPr>
          <w:rFonts w:ascii="Arial" w:hAnsi="Arial" w:cs="Arial"/>
          <w:sz w:val="24"/>
          <w:szCs w:val="24"/>
        </w:rPr>
        <w:t>р</w:t>
      </w:r>
      <w:proofErr w:type="gramEnd"/>
      <w:r w:rsidR="006D3FC9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6D3FC9" w:rsidRPr="00793A29" w:rsidRDefault="006D3FC9" w:rsidP="006D3FC9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378,699тыс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F904F6" w:rsidRPr="00793A29" w:rsidRDefault="00F904F6" w:rsidP="006D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F904F6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Прогнозируемые конечные результаты реализации подпрограммы предусматривают повышение уровня благоустройства населенных пунктов </w:t>
      </w:r>
      <w:r w:rsidR="00E4265F" w:rsidRPr="00793A29">
        <w:rPr>
          <w:rFonts w:ascii="Arial" w:hAnsi="Arial" w:cs="Arial"/>
          <w:sz w:val="24"/>
          <w:szCs w:val="24"/>
        </w:rPr>
        <w:lastRenderedPageBreak/>
        <w:t>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170A0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0F3EAF"/>
    <w:rsid w:val="001214AA"/>
    <w:rsid w:val="00170A0D"/>
    <w:rsid w:val="00182600"/>
    <w:rsid w:val="001E1F38"/>
    <w:rsid w:val="00211807"/>
    <w:rsid w:val="002474CF"/>
    <w:rsid w:val="00247EA2"/>
    <w:rsid w:val="002B1A0B"/>
    <w:rsid w:val="003017F1"/>
    <w:rsid w:val="00306A9B"/>
    <w:rsid w:val="00311F0A"/>
    <w:rsid w:val="0034631C"/>
    <w:rsid w:val="003D0831"/>
    <w:rsid w:val="00402BFA"/>
    <w:rsid w:val="00460653"/>
    <w:rsid w:val="004D0A81"/>
    <w:rsid w:val="005102ED"/>
    <w:rsid w:val="006179F5"/>
    <w:rsid w:val="006A784F"/>
    <w:rsid w:val="006D3FC9"/>
    <w:rsid w:val="007007CE"/>
    <w:rsid w:val="00793A29"/>
    <w:rsid w:val="007B1516"/>
    <w:rsid w:val="008469F8"/>
    <w:rsid w:val="00901E01"/>
    <w:rsid w:val="00902E9B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51538"/>
    <w:rsid w:val="00E74555"/>
    <w:rsid w:val="00E815F8"/>
    <w:rsid w:val="00F260AF"/>
    <w:rsid w:val="00F904F6"/>
    <w:rsid w:val="00FB4843"/>
    <w:rsid w:val="00FB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A222-80AA-40ED-9BA8-634177F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29086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16</cp:revision>
  <cp:lastPrinted>2021-01-05T09:32:00Z</cp:lastPrinted>
  <dcterms:created xsi:type="dcterms:W3CDTF">2019-11-20T13:10:00Z</dcterms:created>
  <dcterms:modified xsi:type="dcterms:W3CDTF">2021-01-05T09:33:00Z</dcterms:modified>
</cp:coreProperties>
</file>